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- 805</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41,45,192.00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BHASKAR UDAR</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50</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AACPU1048E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963078104289</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-15 GURUPRASAD HOUSSING SOCITY PARNAGAR</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- 805</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08th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- 805</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08th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Pr>
          <w:rFonts w:ascii="Bookman Old Style" w:hAnsi="Bookman Old Style"/>
          <w:b/>
          <w:bCs/>
          <w:color w:val="FF0000"/>
          <w:sz w:val="24"/>
          <w:szCs w:val="24"/>
        </w:rPr>
        <w:t xml:space="preserve"> 5,68,900.00</w:t>
      </w:r>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Pr>
          <w:rFonts w:ascii="Bookman Old Style" w:hAnsi="Bookman Old Style"/>
          <w:b/>
          <w:bCs/>
          <w:color w:val="FF0000"/>
          <w:sz w:val="24"/>
          <w:szCs w:val="24"/>
        </w:rPr>
        <w:t xml:space="preserve">Five Lakh Sixty Eight Thousand Nine Hundred  only </w:t>
      </w:r>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- 805</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08th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41,45,192.00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One Lakh Forty five Thousand One Hundred Ninety Two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41,45,192.00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One Lakh Forty five Thousand One Hundred Ninety Two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4,14,519.20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4,14,519.20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4,14,519.20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41,45,192.00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BHASKAR UDAR</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50</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AACPU1048E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963078104289</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-15 GURUPRASAD HOUSSING SOCITY PARNAGAR</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- 805</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BHASKAR UDAR</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